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3A" w:rsidRDefault="001D733A" w:rsidP="001D733A">
      <w:pPr>
        <w:rPr>
          <w:rFonts w:ascii="Arial" w:hAnsi="Arial" w:cs="Arial"/>
          <w:b/>
          <w:bCs/>
          <w:color w:val="333333"/>
          <w:sz w:val="24"/>
          <w:szCs w:val="24"/>
          <w:shd w:val="clear" w:color="auto" w:fill="FFFFFF"/>
        </w:rPr>
      </w:pPr>
    </w:p>
    <w:p w:rsidR="00B8480C" w:rsidRPr="00BF531E" w:rsidRDefault="00B8480C" w:rsidP="001D733A">
      <w:pPr>
        <w:rPr>
          <w:rFonts w:ascii="Arial" w:hAnsi="Arial" w:cs="Arial"/>
          <w:b/>
          <w:bCs/>
          <w:color w:val="333333"/>
          <w:sz w:val="24"/>
          <w:szCs w:val="24"/>
          <w:shd w:val="clear" w:color="auto" w:fill="FFFFFF"/>
        </w:rPr>
      </w:pPr>
    </w:p>
    <w:p w:rsidR="00CD63AD" w:rsidRPr="00B8480C" w:rsidRDefault="00CD63AD" w:rsidP="0014308F">
      <w:pPr>
        <w:jc w:val="center"/>
        <w:rPr>
          <w:rFonts w:ascii="Arial" w:hAnsi="Arial" w:cs="Arial"/>
          <w:b/>
          <w:bCs/>
          <w:color w:val="333333"/>
          <w:sz w:val="24"/>
          <w:szCs w:val="24"/>
          <w:shd w:val="clear" w:color="auto" w:fill="FFFFFF"/>
        </w:rPr>
      </w:pPr>
      <w:r w:rsidRPr="00B8480C">
        <w:rPr>
          <w:rFonts w:ascii="Arial" w:hAnsi="Arial" w:cs="Arial"/>
          <w:b/>
          <w:bCs/>
          <w:color w:val="333333"/>
          <w:sz w:val="24"/>
          <w:szCs w:val="24"/>
          <w:shd w:val="clear" w:color="auto" w:fill="FFFFFF"/>
        </w:rPr>
        <w:t>CONTENT OF THE EMISSIONS DATA COMMUNICATION TEMPLATE</w:t>
      </w:r>
    </w:p>
    <w:p w:rsidR="001D733A" w:rsidRPr="00B8480C" w:rsidRDefault="00CA75B9" w:rsidP="0014308F">
      <w:pPr>
        <w:pStyle w:val="ListParagraph"/>
        <w:spacing w:before="240"/>
        <w:ind w:left="90" w:firstLine="630"/>
        <w:jc w:val="both"/>
        <w:rPr>
          <w:rFonts w:ascii="Arial" w:hAnsi="Arial" w:cs="Arial"/>
          <w:bCs/>
          <w:color w:val="FF0000"/>
          <w:sz w:val="24"/>
          <w:szCs w:val="24"/>
          <w:shd w:val="clear" w:color="auto" w:fill="FFFFFF"/>
        </w:rPr>
      </w:pPr>
      <w:r w:rsidRPr="001D733A">
        <w:rPr>
          <w:rFonts w:ascii="Arial" w:hAnsi="Arial" w:cs="Arial"/>
          <w:b/>
          <w:bCs/>
          <w:color w:val="333333"/>
          <w:sz w:val="24"/>
          <w:szCs w:val="24"/>
          <w:shd w:val="clear" w:color="auto" w:fill="FFFFFF"/>
        </w:rPr>
        <w:t xml:space="preserve">Emission data communication from operators Information on embedded emissions may be provided by operators to reporting declarants using an ‘emissions data communication’ template report, which has been developed by the European Commissions and which is given </w:t>
      </w:r>
      <w:r w:rsidRPr="00B8480C">
        <w:rPr>
          <w:rFonts w:ascii="Arial" w:hAnsi="Arial" w:cs="Arial"/>
          <w:b/>
          <w:bCs/>
          <w:color w:val="FF0000"/>
          <w:sz w:val="24"/>
          <w:szCs w:val="24"/>
          <w:shd w:val="clear" w:color="auto" w:fill="FFFFFF"/>
        </w:rPr>
        <w:t>in Annex IV of the Implementing Regulation</w:t>
      </w:r>
      <w:r w:rsidR="001D733A" w:rsidRPr="00B8480C">
        <w:rPr>
          <w:rFonts w:ascii="Arial" w:hAnsi="Arial" w:cs="Arial"/>
          <w:b/>
          <w:bCs/>
          <w:color w:val="FF0000"/>
          <w:sz w:val="24"/>
          <w:szCs w:val="24"/>
          <w:shd w:val="clear" w:color="auto" w:fill="FFFFFF"/>
        </w:rPr>
        <w:t xml:space="preserve"> (Regulation (EU) 2023/1773)</w:t>
      </w:r>
      <w:r w:rsidRPr="00B8480C">
        <w:rPr>
          <w:rFonts w:ascii="Arial" w:hAnsi="Arial" w:cs="Arial"/>
          <w:b/>
          <w:bCs/>
          <w:color w:val="FF0000"/>
          <w:sz w:val="24"/>
          <w:szCs w:val="24"/>
          <w:shd w:val="clear" w:color="auto" w:fill="FFFFFF"/>
        </w:rPr>
        <w:t>.</w:t>
      </w:r>
      <w:r w:rsidRPr="00B8480C">
        <w:rPr>
          <w:rFonts w:ascii="Arial" w:hAnsi="Arial" w:cs="Arial"/>
          <w:bCs/>
          <w:color w:val="FF0000"/>
          <w:sz w:val="24"/>
          <w:szCs w:val="24"/>
          <w:shd w:val="clear" w:color="auto" w:fill="FFFFFF"/>
        </w:rPr>
        <w:t xml:space="preserve"> </w:t>
      </w:r>
    </w:p>
    <w:p w:rsidR="00CA75B9" w:rsidRDefault="00CA75B9" w:rsidP="0014308F">
      <w:pPr>
        <w:pStyle w:val="ListParagraph"/>
        <w:spacing w:before="240"/>
        <w:ind w:left="90" w:firstLine="630"/>
        <w:jc w:val="both"/>
        <w:rPr>
          <w:rFonts w:ascii="Arial" w:hAnsi="Arial" w:cs="Arial"/>
          <w:bCs/>
          <w:color w:val="333333"/>
          <w:sz w:val="24"/>
          <w:szCs w:val="24"/>
          <w:shd w:val="clear" w:color="auto" w:fill="FFFFFF"/>
        </w:rPr>
      </w:pPr>
      <w:r w:rsidRPr="00CA75B9">
        <w:rPr>
          <w:rFonts w:ascii="Arial" w:hAnsi="Arial" w:cs="Arial"/>
          <w:bCs/>
          <w:color w:val="333333"/>
          <w:sz w:val="24"/>
          <w:szCs w:val="24"/>
          <w:shd w:val="clear" w:color="auto" w:fill="FFFFFF"/>
        </w:rPr>
        <w:t xml:space="preserve">The use of this template is not obligatory but can greatly facilitate the information exchange.  </w:t>
      </w:r>
    </w:p>
    <w:p w:rsidR="00CA75B9" w:rsidRPr="0014308F" w:rsidRDefault="00CA75B9" w:rsidP="0014308F">
      <w:pPr>
        <w:jc w:val="both"/>
        <w:rPr>
          <w:rFonts w:ascii="Arial" w:hAnsi="Arial" w:cs="Arial"/>
          <w:bCs/>
          <w:color w:val="333333"/>
          <w:sz w:val="24"/>
          <w:szCs w:val="24"/>
          <w:shd w:val="clear" w:color="auto" w:fill="FFFFFF"/>
        </w:rPr>
      </w:pPr>
      <w:r w:rsidRPr="0014308F">
        <w:rPr>
          <w:rFonts w:ascii="Arial" w:hAnsi="Arial" w:cs="Arial"/>
          <w:bCs/>
          <w:color w:val="333333"/>
          <w:sz w:val="24"/>
          <w:szCs w:val="24"/>
          <w:shd w:val="clear" w:color="auto" w:fill="FFFFFF"/>
        </w:rPr>
        <w:t xml:space="preserve">The template is divided into two parts: the first part of the template contains all necessary embedded emissions information that you, as the reporting declarant, need to compile for your CBAM report; the second part of the template is an optional section that operators are recommended to complete, as it will provide greater transparency of the data reported under Part 1.  </w:t>
      </w:r>
    </w:p>
    <w:p w:rsidR="00CA75B9" w:rsidRDefault="00CA75B9" w:rsidP="0014308F">
      <w:pPr>
        <w:pStyle w:val="ListParagraph"/>
        <w:ind w:left="90" w:firstLine="630"/>
        <w:jc w:val="both"/>
        <w:rPr>
          <w:rFonts w:ascii="Arial" w:hAnsi="Arial" w:cs="Arial"/>
          <w:bCs/>
          <w:color w:val="333333"/>
          <w:sz w:val="24"/>
          <w:szCs w:val="24"/>
          <w:shd w:val="clear" w:color="auto" w:fill="FFFFFF"/>
        </w:rPr>
      </w:pPr>
      <w:r w:rsidRPr="00CA75B9">
        <w:rPr>
          <w:rFonts w:ascii="Arial" w:hAnsi="Arial" w:cs="Arial"/>
          <w:bCs/>
          <w:color w:val="333333"/>
          <w:sz w:val="24"/>
          <w:szCs w:val="24"/>
          <w:shd w:val="clear" w:color="auto" w:fill="FFFFFF"/>
        </w:rPr>
        <w:t xml:space="preserve">Reporting declarants may use the information in Part 2 to carry out their own data quality checks on the contents of Part 1. </w:t>
      </w:r>
    </w:p>
    <w:p w:rsidR="00CA75B9" w:rsidRDefault="00CA75B9" w:rsidP="0014308F">
      <w:pPr>
        <w:pStyle w:val="ListParagraph"/>
        <w:ind w:left="90" w:firstLine="630"/>
        <w:jc w:val="both"/>
        <w:rPr>
          <w:rFonts w:ascii="Arial" w:hAnsi="Arial" w:cs="Arial"/>
          <w:bCs/>
          <w:color w:val="333333"/>
          <w:sz w:val="24"/>
          <w:szCs w:val="24"/>
          <w:shd w:val="clear" w:color="auto" w:fill="FFFFFF"/>
        </w:rPr>
      </w:pPr>
      <w:r w:rsidRPr="00CA75B9">
        <w:rPr>
          <w:rFonts w:ascii="Arial" w:hAnsi="Arial" w:cs="Arial"/>
          <w:bCs/>
          <w:color w:val="333333"/>
          <w:sz w:val="24"/>
          <w:szCs w:val="24"/>
          <w:shd w:val="clear" w:color="auto" w:fill="FFFFFF"/>
        </w:rPr>
        <w:t xml:space="preserve">The contents of the operator’s emissions communication </w:t>
      </w:r>
      <w:proofErr w:type="gramStart"/>
      <w:r w:rsidRPr="00CA75B9">
        <w:rPr>
          <w:rFonts w:ascii="Arial" w:hAnsi="Arial" w:cs="Arial"/>
          <w:bCs/>
          <w:color w:val="333333"/>
          <w:sz w:val="24"/>
          <w:szCs w:val="24"/>
          <w:shd w:val="clear" w:color="auto" w:fill="FFFFFF"/>
        </w:rPr>
        <w:t>is</w:t>
      </w:r>
      <w:proofErr w:type="gramEnd"/>
      <w:r w:rsidRPr="00CA75B9">
        <w:rPr>
          <w:rFonts w:ascii="Arial" w:hAnsi="Arial" w:cs="Arial"/>
          <w:bCs/>
          <w:color w:val="333333"/>
          <w:sz w:val="24"/>
          <w:szCs w:val="24"/>
          <w:shd w:val="clear" w:color="auto" w:fill="FFFFFF"/>
        </w:rPr>
        <w:t xml:space="preserve"> outlined in the table below for your information.</w:t>
      </w:r>
    </w:p>
    <w:p w:rsidR="00C629F0" w:rsidRPr="00996406" w:rsidRDefault="00C629F0" w:rsidP="00CA75B9">
      <w:pPr>
        <w:pStyle w:val="ListParagraph"/>
        <w:ind w:left="90"/>
        <w:jc w:val="both"/>
        <w:rPr>
          <w:rFonts w:ascii="Arial" w:hAnsi="Arial" w:cs="Arial"/>
          <w:bCs/>
          <w:i/>
          <w:color w:val="333333"/>
          <w:sz w:val="24"/>
          <w:szCs w:val="24"/>
          <w:shd w:val="clear" w:color="auto" w:fill="FFFFFF"/>
        </w:rPr>
      </w:pPr>
    </w:p>
    <w:p w:rsidR="00C629F0" w:rsidRPr="00996406" w:rsidRDefault="00C629F0" w:rsidP="00C629F0">
      <w:pPr>
        <w:pStyle w:val="ListParagraph"/>
        <w:ind w:left="90"/>
        <w:jc w:val="both"/>
        <w:rPr>
          <w:rFonts w:ascii="Arial" w:hAnsi="Arial" w:cs="Arial"/>
          <w:bCs/>
          <w:i/>
          <w:color w:val="333333"/>
          <w:sz w:val="24"/>
          <w:szCs w:val="24"/>
          <w:shd w:val="clear" w:color="auto" w:fill="FFFFFF"/>
        </w:rPr>
      </w:pPr>
      <w:r w:rsidRPr="00996406">
        <w:rPr>
          <w:rFonts w:ascii="Arial" w:hAnsi="Arial" w:cs="Arial"/>
          <w:bCs/>
          <w:i/>
          <w:color w:val="333333"/>
          <w:sz w:val="24"/>
          <w:szCs w:val="24"/>
          <w:shd w:val="clear" w:color="auto" w:fill="FFFFFF"/>
        </w:rPr>
        <w:t>Table: Contents of the operator’s emissions data communication to reporting declarants</w:t>
      </w:r>
    </w:p>
    <w:tbl>
      <w:tblPr>
        <w:tblStyle w:val="TableGrid"/>
        <w:tblW w:w="9805" w:type="dxa"/>
        <w:tblInd w:w="90" w:type="dxa"/>
        <w:tblLook w:val="04A0" w:firstRow="1" w:lastRow="0" w:firstColumn="1" w:lastColumn="0" w:noHBand="0" w:noVBand="1"/>
      </w:tblPr>
      <w:tblGrid>
        <w:gridCol w:w="3415"/>
        <w:gridCol w:w="6390"/>
      </w:tblGrid>
      <w:tr w:rsidR="00C629F0" w:rsidTr="004B6099">
        <w:tc>
          <w:tcPr>
            <w:tcW w:w="3415" w:type="dxa"/>
            <w:shd w:val="clear" w:color="auto" w:fill="E7E6E6" w:themeFill="background2"/>
          </w:tcPr>
          <w:p w:rsidR="00C629F0" w:rsidRPr="004B6099" w:rsidRDefault="00C629F0" w:rsidP="00C629F0">
            <w:pPr>
              <w:pStyle w:val="ListParagraph"/>
              <w:ind w:left="90"/>
              <w:jc w:val="both"/>
              <w:rPr>
                <w:rFonts w:ascii="Arial" w:hAnsi="Arial" w:cs="Arial"/>
                <w:b/>
                <w:bCs/>
                <w:color w:val="2E74B5" w:themeColor="accent1" w:themeShade="BF"/>
                <w:sz w:val="24"/>
                <w:szCs w:val="24"/>
                <w:shd w:val="clear" w:color="auto" w:fill="FFFFFF"/>
              </w:rPr>
            </w:pPr>
            <w:r w:rsidRPr="004B6099">
              <w:rPr>
                <w:rFonts w:ascii="Arial" w:hAnsi="Arial" w:cs="Arial"/>
                <w:b/>
                <w:bCs/>
                <w:color w:val="2E74B5" w:themeColor="accent1" w:themeShade="BF"/>
                <w:sz w:val="24"/>
                <w:szCs w:val="24"/>
                <w:shd w:val="clear" w:color="auto" w:fill="FFFFFF"/>
              </w:rPr>
              <w:t>Template</w:t>
            </w:r>
          </w:p>
        </w:tc>
        <w:tc>
          <w:tcPr>
            <w:tcW w:w="6390" w:type="dxa"/>
            <w:shd w:val="clear" w:color="auto" w:fill="E7E6E6" w:themeFill="background2"/>
          </w:tcPr>
          <w:p w:rsidR="00C629F0" w:rsidRPr="004B6099" w:rsidRDefault="00C629F0" w:rsidP="00CA75B9">
            <w:pPr>
              <w:pStyle w:val="ListParagraph"/>
              <w:ind w:left="0"/>
              <w:jc w:val="both"/>
              <w:rPr>
                <w:rFonts w:ascii="Arial" w:hAnsi="Arial" w:cs="Arial"/>
                <w:b/>
                <w:bCs/>
                <w:color w:val="2E74B5" w:themeColor="accent1" w:themeShade="BF"/>
                <w:sz w:val="24"/>
                <w:szCs w:val="24"/>
                <w:shd w:val="clear" w:color="auto" w:fill="FFFFFF"/>
              </w:rPr>
            </w:pPr>
            <w:r w:rsidRPr="004B6099">
              <w:rPr>
                <w:rFonts w:ascii="Arial" w:hAnsi="Arial" w:cs="Arial"/>
                <w:b/>
                <w:bCs/>
                <w:color w:val="2E74B5" w:themeColor="accent1" w:themeShade="BF"/>
                <w:sz w:val="24"/>
                <w:szCs w:val="24"/>
                <w:shd w:val="clear" w:color="auto" w:fill="FFFFFF"/>
              </w:rPr>
              <w:t>Summary of information required for the transitional period</w:t>
            </w:r>
          </w:p>
        </w:tc>
      </w:tr>
      <w:tr w:rsidR="00C629F0" w:rsidTr="004B6099">
        <w:tc>
          <w:tcPr>
            <w:tcW w:w="3415" w:type="dxa"/>
          </w:tcPr>
          <w:p w:rsidR="00C629F0" w:rsidRPr="001C6B60" w:rsidRDefault="00C629F0" w:rsidP="0014308F">
            <w:pPr>
              <w:pStyle w:val="ListParagraph"/>
              <w:ind w:left="0"/>
              <w:jc w:val="both"/>
              <w:rPr>
                <w:rFonts w:ascii="Arial" w:hAnsi="Arial" w:cs="Arial"/>
                <w:b/>
                <w:bCs/>
                <w:color w:val="333333"/>
                <w:sz w:val="24"/>
                <w:szCs w:val="24"/>
                <w:shd w:val="clear" w:color="auto" w:fill="FFFFFF"/>
              </w:rPr>
            </w:pPr>
            <w:r w:rsidRPr="001C6B60">
              <w:rPr>
                <w:rFonts w:ascii="Arial" w:hAnsi="Arial" w:cs="Arial"/>
                <w:b/>
                <w:bCs/>
                <w:color w:val="333333"/>
                <w:sz w:val="24"/>
                <w:szCs w:val="24"/>
                <w:shd w:val="clear" w:color="auto" w:fill="FFFFFF"/>
              </w:rPr>
              <w:t xml:space="preserve">Part 1 </w:t>
            </w:r>
            <w:r w:rsidR="0014308F">
              <w:rPr>
                <w:rFonts w:ascii="Arial" w:hAnsi="Arial" w:cs="Arial"/>
                <w:b/>
                <w:bCs/>
                <w:color w:val="333333"/>
                <w:sz w:val="24"/>
                <w:szCs w:val="24"/>
                <w:shd w:val="clear" w:color="auto" w:fill="FFFFFF"/>
              </w:rPr>
              <w:t xml:space="preserve"> </w:t>
            </w:r>
            <w:r w:rsidRPr="001C6B60">
              <w:rPr>
                <w:rFonts w:ascii="Arial" w:hAnsi="Arial" w:cs="Arial"/>
                <w:b/>
                <w:bCs/>
                <w:color w:val="333333"/>
                <w:sz w:val="24"/>
                <w:szCs w:val="24"/>
                <w:shd w:val="clear" w:color="auto" w:fill="FFFFFF"/>
              </w:rPr>
              <w:t>General information</w:t>
            </w:r>
          </w:p>
        </w:tc>
        <w:tc>
          <w:tcPr>
            <w:tcW w:w="6390" w:type="dxa"/>
          </w:tcPr>
          <w:p w:rsidR="00C629F0" w:rsidRPr="001C6B60" w:rsidRDefault="00C629F0" w:rsidP="00CA75B9">
            <w:pPr>
              <w:pStyle w:val="ListParagraph"/>
              <w:ind w:left="0"/>
              <w:jc w:val="both"/>
              <w:rPr>
                <w:rFonts w:ascii="Arial" w:hAnsi="Arial" w:cs="Arial"/>
                <w:b/>
                <w:bCs/>
                <w:color w:val="333333"/>
                <w:sz w:val="24"/>
                <w:szCs w:val="24"/>
                <w:shd w:val="clear" w:color="auto" w:fill="FFFFFF"/>
              </w:rPr>
            </w:pPr>
            <w:r w:rsidRPr="001C6B60">
              <w:rPr>
                <w:rFonts w:ascii="Arial" w:hAnsi="Arial" w:cs="Arial"/>
                <w:b/>
                <w:bCs/>
                <w:color w:val="333333"/>
                <w:sz w:val="24"/>
                <w:szCs w:val="24"/>
                <w:shd w:val="clear" w:color="auto" w:fill="FFFFFF"/>
              </w:rPr>
              <w:t xml:space="preserve">Includes the data to be communicated to the reporting declarant. </w:t>
            </w:r>
          </w:p>
          <w:p w:rsidR="00C629F0" w:rsidRDefault="00C629F0" w:rsidP="001F348A">
            <w:pPr>
              <w:pStyle w:val="ListParagraph"/>
              <w:numPr>
                <w:ilvl w:val="0"/>
                <w:numId w:val="5"/>
              </w:numPr>
              <w:ind w:left="-14" w:firstLine="374"/>
              <w:jc w:val="both"/>
              <w:rPr>
                <w:rFonts w:ascii="Arial" w:hAnsi="Arial" w:cs="Arial"/>
                <w:bCs/>
                <w:color w:val="333333"/>
                <w:sz w:val="24"/>
                <w:szCs w:val="24"/>
                <w:shd w:val="clear" w:color="auto" w:fill="FFFFFF"/>
              </w:rPr>
            </w:pPr>
            <w:r w:rsidRPr="00FA7D95">
              <w:rPr>
                <w:rFonts w:ascii="Arial" w:hAnsi="Arial" w:cs="Arial"/>
                <w:bCs/>
                <w:color w:val="FF0000"/>
                <w:sz w:val="24"/>
                <w:szCs w:val="24"/>
                <w:u w:val="single"/>
                <w:shd w:val="clear" w:color="auto" w:fill="FFFFFF"/>
              </w:rPr>
              <w:t>Installation data</w:t>
            </w:r>
            <w:r w:rsidRPr="00C629F0">
              <w:rPr>
                <w:rFonts w:ascii="Arial" w:hAnsi="Arial" w:cs="Arial"/>
                <w:bCs/>
                <w:color w:val="333333"/>
                <w:sz w:val="24"/>
                <w:szCs w:val="24"/>
                <w:shd w:val="clear" w:color="auto" w:fill="FFFFFF"/>
              </w:rPr>
              <w:t xml:space="preserve">, comprising identification and location details for the operator’s installation, and contact details for the operator’s </w:t>
            </w:r>
            <w:proofErr w:type="spellStart"/>
            <w:r w:rsidRPr="00C629F0">
              <w:rPr>
                <w:rFonts w:ascii="Arial" w:hAnsi="Arial" w:cs="Arial"/>
                <w:bCs/>
                <w:color w:val="333333"/>
                <w:sz w:val="24"/>
                <w:szCs w:val="24"/>
                <w:shd w:val="clear" w:color="auto" w:fill="FFFFFF"/>
              </w:rPr>
              <w:t>authorised</w:t>
            </w:r>
            <w:proofErr w:type="spellEnd"/>
            <w:r w:rsidRPr="00C629F0">
              <w:rPr>
                <w:rFonts w:ascii="Arial" w:hAnsi="Arial" w:cs="Arial"/>
                <w:bCs/>
                <w:color w:val="333333"/>
                <w:sz w:val="24"/>
                <w:szCs w:val="24"/>
                <w:shd w:val="clear" w:color="auto" w:fill="FFFFFF"/>
              </w:rPr>
              <w:t xml:space="preserve"> representative. </w:t>
            </w:r>
          </w:p>
          <w:p w:rsidR="00E87272" w:rsidRDefault="00C629F0" w:rsidP="001F348A">
            <w:pPr>
              <w:pStyle w:val="ListParagraph"/>
              <w:numPr>
                <w:ilvl w:val="0"/>
                <w:numId w:val="7"/>
              </w:numPr>
              <w:ind w:left="0" w:firstLine="360"/>
              <w:jc w:val="both"/>
              <w:rPr>
                <w:rFonts w:ascii="Arial" w:hAnsi="Arial" w:cs="Arial"/>
                <w:bCs/>
                <w:color w:val="333333"/>
                <w:sz w:val="24"/>
                <w:szCs w:val="24"/>
                <w:shd w:val="clear" w:color="auto" w:fill="FFFFFF"/>
              </w:rPr>
            </w:pPr>
            <w:r w:rsidRPr="00C629F0">
              <w:rPr>
                <w:rFonts w:ascii="Arial" w:hAnsi="Arial" w:cs="Arial"/>
                <w:bCs/>
                <w:color w:val="333333"/>
                <w:sz w:val="24"/>
                <w:szCs w:val="24"/>
                <w:shd w:val="clear" w:color="auto" w:fill="FFFFFF"/>
              </w:rPr>
              <w:t xml:space="preserve">The </w:t>
            </w:r>
            <w:r w:rsidRPr="00FA7D95">
              <w:rPr>
                <w:rFonts w:ascii="Arial" w:hAnsi="Arial" w:cs="Arial"/>
                <w:bCs/>
                <w:color w:val="FF0000"/>
                <w:sz w:val="24"/>
                <w:szCs w:val="24"/>
                <w:u w:val="single"/>
                <w:shd w:val="clear" w:color="auto" w:fill="FFFFFF"/>
              </w:rPr>
              <w:t>production processes</w:t>
            </w:r>
            <w:r w:rsidRPr="00FA7D95">
              <w:rPr>
                <w:rFonts w:ascii="Arial" w:hAnsi="Arial" w:cs="Arial"/>
                <w:bCs/>
                <w:color w:val="FF0000"/>
                <w:sz w:val="24"/>
                <w:szCs w:val="24"/>
                <w:shd w:val="clear" w:color="auto" w:fill="FFFFFF"/>
              </w:rPr>
              <w:t xml:space="preserve"> </w:t>
            </w:r>
            <w:r w:rsidRPr="00C629F0">
              <w:rPr>
                <w:rFonts w:ascii="Arial" w:hAnsi="Arial" w:cs="Arial"/>
                <w:bCs/>
                <w:color w:val="333333"/>
                <w:sz w:val="24"/>
                <w:szCs w:val="24"/>
                <w:shd w:val="clear" w:color="auto" w:fill="FFFFFF"/>
              </w:rPr>
              <w:t xml:space="preserve">and routes under each aggregated goods category at the installation. </w:t>
            </w:r>
          </w:p>
          <w:p w:rsidR="00C629F0" w:rsidRDefault="00C629F0" w:rsidP="001F348A">
            <w:pPr>
              <w:pStyle w:val="ListParagraph"/>
              <w:numPr>
                <w:ilvl w:val="0"/>
                <w:numId w:val="7"/>
              </w:numPr>
              <w:ind w:left="0" w:firstLine="360"/>
              <w:jc w:val="both"/>
              <w:rPr>
                <w:rFonts w:ascii="Arial" w:hAnsi="Arial" w:cs="Arial"/>
                <w:bCs/>
                <w:color w:val="333333"/>
                <w:sz w:val="24"/>
                <w:szCs w:val="24"/>
                <w:shd w:val="clear" w:color="auto" w:fill="FFFFFF"/>
              </w:rPr>
            </w:pPr>
            <w:r w:rsidRPr="00C629F0">
              <w:rPr>
                <w:rFonts w:ascii="Arial" w:hAnsi="Arial" w:cs="Arial"/>
                <w:bCs/>
                <w:color w:val="333333"/>
                <w:sz w:val="24"/>
                <w:szCs w:val="24"/>
                <w:shd w:val="clear" w:color="auto" w:fill="FFFFFF"/>
              </w:rPr>
              <w:t xml:space="preserve"> For each aggregated goods category or separately </w:t>
            </w:r>
            <w:r w:rsidRPr="006F3297">
              <w:rPr>
                <w:rFonts w:ascii="Arial" w:hAnsi="Arial" w:cs="Arial"/>
                <w:bCs/>
                <w:color w:val="000000" w:themeColor="text1"/>
                <w:sz w:val="24"/>
                <w:szCs w:val="24"/>
                <w:shd w:val="clear" w:color="auto" w:fill="FFFFFF"/>
              </w:rPr>
              <w:t>for each good by CN code</w:t>
            </w:r>
            <w:r w:rsidRPr="00C629F0">
              <w:rPr>
                <w:rFonts w:ascii="Arial" w:hAnsi="Arial" w:cs="Arial"/>
                <w:bCs/>
                <w:color w:val="333333"/>
                <w:sz w:val="24"/>
                <w:szCs w:val="24"/>
                <w:shd w:val="clear" w:color="auto" w:fill="FFFFFF"/>
              </w:rPr>
              <w:t>:</w:t>
            </w:r>
          </w:p>
          <w:p w:rsidR="00C629F0" w:rsidRDefault="00C629F0" w:rsidP="001F348A">
            <w:pPr>
              <w:pStyle w:val="ListParagraph"/>
              <w:numPr>
                <w:ilvl w:val="0"/>
                <w:numId w:val="9"/>
              </w:numPr>
              <w:ind w:left="1246"/>
              <w:jc w:val="both"/>
              <w:rPr>
                <w:rFonts w:ascii="Arial" w:hAnsi="Arial" w:cs="Arial"/>
                <w:bCs/>
                <w:color w:val="333333"/>
                <w:sz w:val="24"/>
                <w:szCs w:val="24"/>
                <w:shd w:val="clear" w:color="auto" w:fill="FFFFFF"/>
              </w:rPr>
            </w:pPr>
            <w:r w:rsidRPr="00FA7D95">
              <w:rPr>
                <w:rFonts w:ascii="Arial" w:hAnsi="Arial" w:cs="Arial"/>
                <w:bCs/>
                <w:color w:val="FF0000"/>
                <w:sz w:val="24"/>
                <w:szCs w:val="24"/>
                <w:u w:val="single"/>
                <w:shd w:val="clear" w:color="auto" w:fill="FFFFFF"/>
              </w:rPr>
              <w:t>The direct and indirect specific embedded emissions of each good</w:t>
            </w:r>
            <w:r w:rsidRPr="00C629F0">
              <w:rPr>
                <w:rFonts w:ascii="Arial" w:hAnsi="Arial" w:cs="Arial"/>
                <w:bCs/>
                <w:color w:val="333333"/>
                <w:sz w:val="24"/>
                <w:szCs w:val="24"/>
                <w:shd w:val="clear" w:color="auto" w:fill="FFFFFF"/>
              </w:rPr>
              <w:t xml:space="preserve">; and for SEE indirect detail on how the emission factor was determined and the information source used; </w:t>
            </w:r>
          </w:p>
          <w:p w:rsidR="00C629F0" w:rsidRDefault="00C629F0" w:rsidP="001F348A">
            <w:pPr>
              <w:pStyle w:val="ListParagraph"/>
              <w:numPr>
                <w:ilvl w:val="0"/>
                <w:numId w:val="11"/>
              </w:numPr>
              <w:ind w:left="1246"/>
              <w:jc w:val="both"/>
              <w:rPr>
                <w:rFonts w:ascii="Arial" w:hAnsi="Arial" w:cs="Arial"/>
                <w:bCs/>
                <w:color w:val="333333"/>
                <w:sz w:val="24"/>
                <w:szCs w:val="24"/>
                <w:shd w:val="clear" w:color="auto" w:fill="FFFFFF"/>
              </w:rPr>
            </w:pPr>
            <w:r w:rsidRPr="00FA7D95">
              <w:rPr>
                <w:rFonts w:ascii="Arial" w:hAnsi="Arial" w:cs="Arial"/>
                <w:bCs/>
                <w:color w:val="FF0000"/>
                <w:sz w:val="24"/>
                <w:szCs w:val="24"/>
                <w:u w:val="single"/>
                <w:shd w:val="clear" w:color="auto" w:fill="FFFFFF"/>
              </w:rPr>
              <w:t>Information on what data quality and methods</w:t>
            </w:r>
            <w:r w:rsidRPr="00FA7D95">
              <w:rPr>
                <w:rFonts w:ascii="Arial" w:hAnsi="Arial" w:cs="Arial"/>
                <w:bCs/>
                <w:color w:val="FF0000"/>
                <w:sz w:val="24"/>
                <w:szCs w:val="24"/>
                <w:shd w:val="clear" w:color="auto" w:fill="FFFFFF"/>
              </w:rPr>
              <w:t xml:space="preserve"> </w:t>
            </w:r>
            <w:r w:rsidRPr="00C629F0">
              <w:rPr>
                <w:rFonts w:ascii="Arial" w:hAnsi="Arial" w:cs="Arial"/>
                <w:bCs/>
                <w:color w:val="333333"/>
                <w:sz w:val="24"/>
                <w:szCs w:val="24"/>
                <w:shd w:val="clear" w:color="auto" w:fill="FFFFFF"/>
              </w:rPr>
              <w:t>(calculation</w:t>
            </w:r>
            <w:r w:rsidR="006C2680">
              <w:rPr>
                <w:rFonts w:ascii="Arial" w:hAnsi="Arial" w:cs="Arial"/>
                <w:bCs/>
                <w:color w:val="333333"/>
                <w:sz w:val="24"/>
                <w:szCs w:val="24"/>
                <w:shd w:val="clear" w:color="auto" w:fill="FFFFFF"/>
              </w:rPr>
              <w:t xml:space="preserve"> </w:t>
            </w:r>
            <w:r w:rsidRPr="00C629F0">
              <w:rPr>
                <w:rFonts w:ascii="Arial" w:hAnsi="Arial" w:cs="Arial"/>
                <w:bCs/>
                <w:color w:val="333333"/>
                <w:sz w:val="24"/>
                <w:szCs w:val="24"/>
                <w:shd w:val="clear" w:color="auto" w:fill="FFFFFF"/>
              </w:rPr>
              <w:t xml:space="preserve">based, measurement-based, other) </w:t>
            </w:r>
            <w:r w:rsidRPr="00FA7D95">
              <w:rPr>
                <w:rFonts w:ascii="Arial" w:hAnsi="Arial" w:cs="Arial"/>
                <w:bCs/>
                <w:color w:val="FF0000"/>
                <w:sz w:val="24"/>
                <w:szCs w:val="24"/>
                <w:u w:val="single"/>
                <w:shd w:val="clear" w:color="auto" w:fill="FFFFFF"/>
              </w:rPr>
              <w:t>were used for determining embedded emissions</w:t>
            </w:r>
            <w:r w:rsidRPr="00C629F0">
              <w:rPr>
                <w:rFonts w:ascii="Arial" w:hAnsi="Arial" w:cs="Arial"/>
                <w:bCs/>
                <w:color w:val="333333"/>
                <w:sz w:val="24"/>
                <w:szCs w:val="24"/>
                <w:shd w:val="clear" w:color="auto" w:fill="FFFFFF"/>
              </w:rPr>
              <w:t xml:space="preserve">, and whether this was based fully on monitoring, or if default values were used; </w:t>
            </w:r>
          </w:p>
          <w:p w:rsidR="001F348A" w:rsidRPr="00FA7D95" w:rsidRDefault="001F348A" w:rsidP="001F348A">
            <w:pPr>
              <w:pStyle w:val="ListParagraph"/>
              <w:numPr>
                <w:ilvl w:val="0"/>
                <w:numId w:val="11"/>
              </w:numPr>
              <w:ind w:left="1246" w:hanging="346"/>
              <w:jc w:val="both"/>
              <w:rPr>
                <w:rFonts w:ascii="Arial" w:hAnsi="Arial" w:cs="Arial"/>
                <w:bCs/>
                <w:color w:val="FF0000"/>
                <w:sz w:val="24"/>
                <w:szCs w:val="24"/>
                <w:u w:val="single"/>
                <w:shd w:val="clear" w:color="auto" w:fill="FFFFFF"/>
              </w:rPr>
            </w:pPr>
            <w:r w:rsidRPr="00FA7D95">
              <w:rPr>
                <w:rFonts w:ascii="Arial" w:hAnsi="Arial" w:cs="Arial"/>
                <w:bCs/>
                <w:color w:val="FF0000"/>
                <w:sz w:val="24"/>
                <w:szCs w:val="24"/>
                <w:u w:val="single"/>
                <w:shd w:val="clear" w:color="auto" w:fill="FFFFFF"/>
              </w:rPr>
              <w:t>Information on the correct amount of electricity consumed (expressed in MWh/unit of goods);</w:t>
            </w:r>
          </w:p>
          <w:p w:rsidR="00C629F0" w:rsidRDefault="00C629F0" w:rsidP="00E87272">
            <w:pPr>
              <w:pStyle w:val="ListParagraph"/>
              <w:numPr>
                <w:ilvl w:val="0"/>
                <w:numId w:val="13"/>
              </w:numPr>
              <w:jc w:val="both"/>
              <w:rPr>
                <w:rFonts w:ascii="Arial" w:hAnsi="Arial" w:cs="Arial"/>
                <w:bCs/>
                <w:color w:val="333333"/>
                <w:sz w:val="24"/>
                <w:szCs w:val="24"/>
                <w:shd w:val="clear" w:color="auto" w:fill="FFFFFF"/>
              </w:rPr>
            </w:pPr>
            <w:r w:rsidRPr="00C629F0">
              <w:rPr>
                <w:rFonts w:ascii="Arial" w:hAnsi="Arial" w:cs="Arial"/>
                <w:bCs/>
                <w:color w:val="333333"/>
                <w:sz w:val="24"/>
                <w:szCs w:val="24"/>
                <w:shd w:val="clear" w:color="auto" w:fill="FFFFFF"/>
              </w:rPr>
              <w:t xml:space="preserve">If default values were used, a short description why these were used instead of actual data; </w:t>
            </w:r>
          </w:p>
          <w:p w:rsidR="00C629F0" w:rsidRDefault="00C629F0" w:rsidP="00E87272">
            <w:pPr>
              <w:pStyle w:val="ListParagraph"/>
              <w:numPr>
                <w:ilvl w:val="0"/>
                <w:numId w:val="15"/>
              </w:numPr>
              <w:jc w:val="both"/>
              <w:rPr>
                <w:rFonts w:ascii="Arial" w:hAnsi="Arial" w:cs="Arial"/>
                <w:bCs/>
                <w:color w:val="333333"/>
                <w:sz w:val="24"/>
                <w:szCs w:val="24"/>
                <w:shd w:val="clear" w:color="auto" w:fill="FFFFFF"/>
              </w:rPr>
            </w:pPr>
            <w:r w:rsidRPr="00C629F0">
              <w:rPr>
                <w:rFonts w:ascii="Arial" w:hAnsi="Arial" w:cs="Arial"/>
                <w:bCs/>
                <w:color w:val="333333"/>
                <w:sz w:val="24"/>
                <w:szCs w:val="24"/>
                <w:shd w:val="clear" w:color="auto" w:fill="FFFFFF"/>
              </w:rPr>
              <w:lastRenderedPageBreak/>
              <w:t xml:space="preserve">Information on additional sector-specific reporting parameters for goods produced, if required; and </w:t>
            </w:r>
          </w:p>
          <w:p w:rsidR="00C629F0" w:rsidRDefault="00C629F0" w:rsidP="001F348A">
            <w:pPr>
              <w:pStyle w:val="ListParagraph"/>
              <w:numPr>
                <w:ilvl w:val="0"/>
                <w:numId w:val="17"/>
              </w:numPr>
              <w:ind w:left="1246"/>
              <w:jc w:val="both"/>
              <w:rPr>
                <w:rFonts w:ascii="Arial" w:hAnsi="Arial" w:cs="Arial"/>
                <w:bCs/>
                <w:color w:val="333333"/>
                <w:sz w:val="24"/>
                <w:szCs w:val="24"/>
                <w:shd w:val="clear" w:color="auto" w:fill="FFFFFF"/>
              </w:rPr>
            </w:pPr>
            <w:r w:rsidRPr="00C629F0">
              <w:rPr>
                <w:rFonts w:ascii="Arial" w:hAnsi="Arial" w:cs="Arial"/>
                <w:bCs/>
                <w:color w:val="333333"/>
                <w:sz w:val="24"/>
                <w:szCs w:val="24"/>
                <w:shd w:val="clear" w:color="auto" w:fill="FFFFFF"/>
              </w:rPr>
              <w:t xml:space="preserve">If applicable, </w:t>
            </w:r>
            <w:r w:rsidRPr="00FA7D95">
              <w:rPr>
                <w:rFonts w:ascii="Arial" w:hAnsi="Arial" w:cs="Arial"/>
                <w:bCs/>
                <w:color w:val="FF0000"/>
                <w:sz w:val="24"/>
                <w:szCs w:val="24"/>
                <w:u w:val="single"/>
                <w:shd w:val="clear" w:color="auto" w:fill="FFFFFF"/>
              </w:rPr>
              <w:t>information on a carbon price due</w:t>
            </w:r>
            <w:r w:rsidRPr="00C629F0">
              <w:rPr>
                <w:rFonts w:ascii="Arial" w:hAnsi="Arial" w:cs="Arial"/>
                <w:bCs/>
                <w:color w:val="333333"/>
                <w:sz w:val="24"/>
                <w:szCs w:val="24"/>
                <w:shd w:val="clear" w:color="auto" w:fill="FFFFFF"/>
              </w:rPr>
              <w:t>, and separately for any precursors obtained from other installations, by the precursors’ country of origin.</w:t>
            </w:r>
          </w:p>
        </w:tc>
      </w:tr>
      <w:tr w:rsidR="001C6B60" w:rsidTr="004B6099">
        <w:trPr>
          <w:trHeight w:val="11463"/>
        </w:trPr>
        <w:tc>
          <w:tcPr>
            <w:tcW w:w="3415" w:type="dxa"/>
          </w:tcPr>
          <w:p w:rsidR="001C6B60" w:rsidRPr="0014308F" w:rsidRDefault="004B6099" w:rsidP="00996406">
            <w:pPr>
              <w:pStyle w:val="ListParagraph"/>
              <w:ind w:left="90"/>
              <w:jc w:val="both"/>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lastRenderedPageBreak/>
              <w:t xml:space="preserve">Part 2 </w:t>
            </w:r>
            <w:r w:rsidR="001C6B60" w:rsidRPr="0014308F">
              <w:rPr>
                <w:rFonts w:ascii="Arial" w:hAnsi="Arial" w:cs="Arial"/>
                <w:b/>
                <w:bCs/>
                <w:color w:val="000000" w:themeColor="text1"/>
                <w:sz w:val="24"/>
                <w:szCs w:val="24"/>
                <w:shd w:val="clear" w:color="auto" w:fill="FFFFFF"/>
              </w:rPr>
              <w:t>Optional information</w:t>
            </w:r>
          </w:p>
          <w:p w:rsidR="001C6B60" w:rsidRPr="0014308F" w:rsidRDefault="001C6B60" w:rsidP="00996406">
            <w:pPr>
              <w:pStyle w:val="ListParagraph"/>
              <w:ind w:left="0"/>
              <w:jc w:val="both"/>
              <w:rPr>
                <w:rFonts w:ascii="Arial" w:hAnsi="Arial" w:cs="Arial"/>
                <w:bCs/>
                <w:color w:val="000000" w:themeColor="text1"/>
                <w:sz w:val="24"/>
                <w:szCs w:val="24"/>
                <w:shd w:val="clear" w:color="auto" w:fill="FFFFFF"/>
              </w:rPr>
            </w:pPr>
          </w:p>
          <w:p w:rsidR="001C6B60" w:rsidRDefault="001C6B60" w:rsidP="00996406">
            <w:pPr>
              <w:pStyle w:val="ListParagraph"/>
              <w:ind w:left="0"/>
              <w:jc w:val="both"/>
              <w:rPr>
                <w:rFonts w:ascii="Arial" w:hAnsi="Arial" w:cs="Arial"/>
                <w:bCs/>
                <w:color w:val="333333"/>
                <w:sz w:val="24"/>
                <w:szCs w:val="24"/>
                <w:shd w:val="clear" w:color="auto" w:fill="FFFFFF"/>
              </w:rPr>
            </w:pPr>
          </w:p>
          <w:p w:rsidR="001C6B60" w:rsidRDefault="001C6B60" w:rsidP="00996406">
            <w:pPr>
              <w:pStyle w:val="ListParagraph"/>
              <w:ind w:left="0"/>
              <w:jc w:val="both"/>
              <w:rPr>
                <w:rFonts w:ascii="Arial" w:hAnsi="Arial" w:cs="Arial"/>
                <w:bCs/>
                <w:color w:val="333333"/>
                <w:sz w:val="24"/>
                <w:szCs w:val="24"/>
                <w:shd w:val="clear" w:color="auto" w:fill="FFFFFF"/>
              </w:rPr>
            </w:pPr>
          </w:p>
          <w:p w:rsidR="001C6B60" w:rsidRPr="00996406" w:rsidRDefault="001C6B60" w:rsidP="00996406">
            <w:pPr>
              <w:pStyle w:val="ListParagraph"/>
              <w:ind w:left="0"/>
              <w:jc w:val="both"/>
              <w:rPr>
                <w:rFonts w:ascii="Arial" w:hAnsi="Arial" w:cs="Arial"/>
                <w:b/>
                <w:bCs/>
                <w:color w:val="2E74B5" w:themeColor="accent1" w:themeShade="BF"/>
                <w:sz w:val="28"/>
                <w:szCs w:val="28"/>
                <w:shd w:val="clear" w:color="auto" w:fill="FFFFFF"/>
              </w:rPr>
            </w:pPr>
          </w:p>
        </w:tc>
        <w:tc>
          <w:tcPr>
            <w:tcW w:w="6390" w:type="dxa"/>
          </w:tcPr>
          <w:p w:rsidR="001C6B60" w:rsidRPr="001C6B60" w:rsidRDefault="001C6B60" w:rsidP="00996406">
            <w:pPr>
              <w:pStyle w:val="ListParagraph"/>
              <w:ind w:left="0"/>
              <w:jc w:val="both"/>
              <w:rPr>
                <w:rFonts w:ascii="Arial" w:hAnsi="Arial" w:cs="Arial"/>
                <w:b/>
                <w:bCs/>
                <w:color w:val="44546A" w:themeColor="text2"/>
                <w:sz w:val="24"/>
                <w:szCs w:val="24"/>
                <w:shd w:val="clear" w:color="auto" w:fill="FFFFFF"/>
              </w:rPr>
            </w:pPr>
            <w:r w:rsidRPr="001C6B60">
              <w:rPr>
                <w:rFonts w:ascii="Arial" w:hAnsi="Arial" w:cs="Arial"/>
                <w:b/>
                <w:bCs/>
                <w:color w:val="44546A" w:themeColor="text2"/>
                <w:sz w:val="24"/>
                <w:szCs w:val="24"/>
                <w:shd w:val="clear" w:color="auto" w:fill="FFFFFF"/>
              </w:rPr>
              <w:t>Provides greater transparency of the data under Part 1, and allows the reporting declarant to carry out validation checks on Part 1.</w:t>
            </w:r>
          </w:p>
          <w:p w:rsidR="001C6B60" w:rsidRDefault="001C6B60" w:rsidP="001F348A">
            <w:pPr>
              <w:pStyle w:val="ListParagraph"/>
              <w:numPr>
                <w:ilvl w:val="0"/>
                <w:numId w:val="18"/>
              </w:numPr>
              <w:ind w:left="0" w:firstLine="360"/>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The total emissions of the installation, including: activity data and calculation factors for each source stream used; emissions of each emission source monitored using a measurement-based methodology, and emissions determined by other methods; and if applicable, any CO2 imports or exports to other installations, for the reasons outlined above.</w:t>
            </w:r>
          </w:p>
          <w:p w:rsidR="001C6B60" w:rsidRDefault="001C6B60" w:rsidP="001F348A">
            <w:pPr>
              <w:pStyle w:val="ListParagraph"/>
              <w:numPr>
                <w:ilvl w:val="0"/>
                <w:numId w:val="20"/>
              </w:numPr>
              <w:ind w:left="0" w:firstLine="360"/>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A ‘heat balance’ of imported, produced, consumed and exported measurable heat, and similarly balances for waste gases or electricity.</w:t>
            </w:r>
          </w:p>
          <w:p w:rsidR="001C6B60" w:rsidRDefault="001C6B60" w:rsidP="001F348A">
            <w:pPr>
              <w:pStyle w:val="ListParagraph"/>
              <w:numPr>
                <w:ilvl w:val="0"/>
                <w:numId w:val="22"/>
              </w:numPr>
              <w:ind w:left="0" w:firstLine="360"/>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A list of all relevant goods by CN code produced by the installation, including precursors not covered by separate production processes.</w:t>
            </w:r>
          </w:p>
          <w:p w:rsidR="001C6B60" w:rsidRDefault="001C6B60" w:rsidP="001F348A">
            <w:pPr>
              <w:pStyle w:val="ListParagraph"/>
              <w:numPr>
                <w:ilvl w:val="0"/>
                <w:numId w:val="24"/>
              </w:numPr>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 xml:space="preserve">For precursor goods: </w:t>
            </w:r>
          </w:p>
          <w:p w:rsidR="001C6B60" w:rsidRDefault="001C6B60" w:rsidP="001F348A">
            <w:pPr>
              <w:pStyle w:val="ListParagraph"/>
              <w:numPr>
                <w:ilvl w:val="1"/>
                <w:numId w:val="27"/>
              </w:numPr>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 xml:space="preserve">The quantity received from elsewhere.  </w:t>
            </w:r>
          </w:p>
          <w:p w:rsidR="001C6B60" w:rsidRDefault="001C6B60" w:rsidP="001F348A">
            <w:pPr>
              <w:pStyle w:val="ListParagraph"/>
              <w:numPr>
                <w:ilvl w:val="1"/>
                <w:numId w:val="27"/>
              </w:numPr>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Their specific direct and indirect embedded emissions (as reported by other operators).</w:t>
            </w:r>
          </w:p>
          <w:p w:rsidR="001C6B60" w:rsidRDefault="001C6B60" w:rsidP="001F348A">
            <w:pPr>
              <w:pStyle w:val="ListParagraph"/>
              <w:numPr>
                <w:ilvl w:val="1"/>
                <w:numId w:val="27"/>
              </w:numPr>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The quantity used in each production process, excluding precursor goods produced in the same installation.</w:t>
            </w:r>
          </w:p>
          <w:p w:rsidR="001C6B60" w:rsidRDefault="001C6B60" w:rsidP="001F348A">
            <w:pPr>
              <w:pStyle w:val="ListParagraph"/>
              <w:numPr>
                <w:ilvl w:val="1"/>
                <w:numId w:val="28"/>
              </w:numPr>
              <w:ind w:left="0" w:firstLine="346"/>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 xml:space="preserve">For attributed direct and indirect emissions: information on how the attributed emissions of each production process were calculated; the activity level and attributed emissions of each production process. </w:t>
            </w:r>
          </w:p>
          <w:p w:rsidR="001C6B60" w:rsidRDefault="001C6B60" w:rsidP="001F348A">
            <w:pPr>
              <w:pStyle w:val="ListParagraph"/>
              <w:numPr>
                <w:ilvl w:val="1"/>
                <w:numId w:val="29"/>
              </w:numPr>
              <w:ind w:left="0" w:firstLine="346"/>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 xml:space="preserve">A short description of the installation, covering: relevant and </w:t>
            </w:r>
            <w:proofErr w:type="spellStart"/>
            <w:r w:rsidRPr="00C460E7">
              <w:rPr>
                <w:rFonts w:ascii="Arial" w:hAnsi="Arial" w:cs="Arial"/>
                <w:bCs/>
                <w:color w:val="333333"/>
                <w:sz w:val="24"/>
                <w:szCs w:val="24"/>
                <w:shd w:val="clear" w:color="auto" w:fill="FFFFFF"/>
              </w:rPr>
              <w:t>nonrelevant</w:t>
            </w:r>
            <w:proofErr w:type="spellEnd"/>
            <w:r w:rsidRPr="00C460E7">
              <w:rPr>
                <w:rFonts w:ascii="Arial" w:hAnsi="Arial" w:cs="Arial"/>
                <w:bCs/>
                <w:color w:val="333333"/>
                <w:sz w:val="24"/>
                <w:szCs w:val="24"/>
                <w:shd w:val="clear" w:color="auto" w:fill="FFFFFF"/>
              </w:rPr>
              <w:t xml:space="preserve"> (out of scope) production processes;  </w:t>
            </w:r>
          </w:p>
          <w:p w:rsidR="001C6B60" w:rsidRDefault="001C6B60" w:rsidP="001F348A">
            <w:pPr>
              <w:pStyle w:val="ListParagraph"/>
              <w:numPr>
                <w:ilvl w:val="0"/>
                <w:numId w:val="30"/>
              </w:numPr>
              <w:ind w:left="1426"/>
              <w:jc w:val="both"/>
              <w:rPr>
                <w:rFonts w:ascii="Arial" w:hAnsi="Arial" w:cs="Arial"/>
                <w:bCs/>
                <w:color w:val="333333"/>
                <w:sz w:val="24"/>
                <w:szCs w:val="24"/>
                <w:shd w:val="clear" w:color="auto" w:fill="FFFFFF"/>
              </w:rPr>
            </w:pPr>
            <w:r>
              <w:rPr>
                <w:rFonts w:ascii="Arial" w:hAnsi="Arial" w:cs="Arial"/>
                <w:bCs/>
                <w:color w:val="333333"/>
                <w:sz w:val="24"/>
                <w:szCs w:val="24"/>
                <w:shd w:val="clear" w:color="auto" w:fill="FFFFFF"/>
              </w:rPr>
              <w:t>T</w:t>
            </w:r>
            <w:r w:rsidRPr="00C460E7">
              <w:rPr>
                <w:rFonts w:ascii="Arial" w:hAnsi="Arial" w:cs="Arial"/>
                <w:bCs/>
                <w:color w:val="333333"/>
                <w:sz w:val="24"/>
                <w:szCs w:val="24"/>
                <w:shd w:val="clear" w:color="auto" w:fill="FFFFFF"/>
              </w:rPr>
              <w:t>he main production processes taking place at the installation and any production processes not covered for CBAM purposes;</w:t>
            </w:r>
          </w:p>
          <w:p w:rsidR="001C6B60" w:rsidRDefault="001C6B60" w:rsidP="001F348A">
            <w:pPr>
              <w:pStyle w:val="ListParagraph"/>
              <w:numPr>
                <w:ilvl w:val="1"/>
                <w:numId w:val="30"/>
              </w:numPr>
              <w:ind w:hanging="374"/>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 xml:space="preserve">The main elements of the monitoring methodology being used; and  </w:t>
            </w:r>
          </w:p>
          <w:p w:rsidR="001C6B60" w:rsidRDefault="001C6B60" w:rsidP="001F348A">
            <w:pPr>
              <w:pStyle w:val="ListParagraph"/>
              <w:numPr>
                <w:ilvl w:val="1"/>
                <w:numId w:val="30"/>
              </w:numPr>
              <w:ind w:hanging="374"/>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What measures to improve data quality have been taken, in particular whether any form of verification (in the definitive period) was applied.</w:t>
            </w:r>
          </w:p>
          <w:p w:rsidR="001C6B60" w:rsidRPr="00996406" w:rsidRDefault="001C6B60" w:rsidP="001F348A">
            <w:pPr>
              <w:pStyle w:val="ListParagraph"/>
              <w:numPr>
                <w:ilvl w:val="0"/>
                <w:numId w:val="31"/>
              </w:numPr>
              <w:jc w:val="both"/>
              <w:rPr>
                <w:rFonts w:ascii="Arial" w:hAnsi="Arial" w:cs="Arial"/>
                <w:b/>
                <w:bCs/>
                <w:color w:val="2E74B5" w:themeColor="accent1" w:themeShade="BF"/>
                <w:sz w:val="28"/>
                <w:szCs w:val="28"/>
                <w:shd w:val="clear" w:color="auto" w:fill="FFFFFF"/>
              </w:rPr>
            </w:pPr>
            <w:r>
              <w:rPr>
                <w:rFonts w:ascii="Arial" w:hAnsi="Arial" w:cs="Arial"/>
                <w:bCs/>
                <w:color w:val="333333"/>
                <w:sz w:val="24"/>
                <w:szCs w:val="24"/>
                <w:shd w:val="clear" w:color="auto" w:fill="FFFFFF"/>
              </w:rPr>
              <w:t>I</w:t>
            </w:r>
            <w:r w:rsidRPr="00C460E7">
              <w:rPr>
                <w:rFonts w:ascii="Arial" w:hAnsi="Arial" w:cs="Arial"/>
                <w:bCs/>
                <w:color w:val="333333"/>
                <w:sz w:val="24"/>
                <w:szCs w:val="24"/>
                <w:shd w:val="clear" w:color="auto" w:fill="FFFFFF"/>
              </w:rPr>
              <w:t>nformation on the electricity emissions factor in the power purchase agreement, where appropriate.</w:t>
            </w:r>
          </w:p>
        </w:tc>
      </w:tr>
    </w:tbl>
    <w:p w:rsidR="00C629F0" w:rsidRDefault="00C629F0" w:rsidP="00CA75B9">
      <w:pPr>
        <w:pStyle w:val="ListParagraph"/>
        <w:ind w:left="90"/>
        <w:jc w:val="both"/>
        <w:rPr>
          <w:rFonts w:ascii="Arial" w:hAnsi="Arial" w:cs="Arial"/>
          <w:bCs/>
          <w:color w:val="333333"/>
          <w:sz w:val="24"/>
          <w:szCs w:val="24"/>
          <w:shd w:val="clear" w:color="auto" w:fill="FFFFFF"/>
        </w:rPr>
      </w:pPr>
    </w:p>
    <w:p w:rsidR="00C629F0" w:rsidRDefault="00C460E7" w:rsidP="00C460E7">
      <w:pPr>
        <w:pStyle w:val="ListParagraph"/>
        <w:ind w:left="90"/>
        <w:jc w:val="both"/>
        <w:rPr>
          <w:rFonts w:ascii="Arial" w:hAnsi="Arial" w:cs="Arial"/>
          <w:bCs/>
          <w:color w:val="333333"/>
          <w:sz w:val="24"/>
          <w:szCs w:val="24"/>
          <w:shd w:val="clear" w:color="auto" w:fill="FFFFFF"/>
        </w:rPr>
      </w:pPr>
      <w:r w:rsidRPr="00C460E7">
        <w:rPr>
          <w:rFonts w:ascii="Arial" w:hAnsi="Arial" w:cs="Arial"/>
          <w:bCs/>
          <w:color w:val="333333"/>
          <w:sz w:val="24"/>
          <w:szCs w:val="24"/>
          <w:shd w:val="clear" w:color="auto" w:fill="FFFFFF"/>
        </w:rPr>
        <w:t xml:space="preserve">To help operators share their information on embedded emissions with you, as a reporting declarant, the template in Annex IV has been translated into a ‘voluntary to use’ </w:t>
      </w:r>
      <w:r w:rsidRPr="00C460E7">
        <w:rPr>
          <w:rFonts w:ascii="Arial" w:hAnsi="Arial" w:cs="Arial"/>
          <w:bCs/>
          <w:color w:val="333333"/>
          <w:sz w:val="24"/>
          <w:szCs w:val="24"/>
          <w:shd w:val="clear" w:color="auto" w:fill="FFFFFF"/>
        </w:rPr>
        <w:lastRenderedPageBreak/>
        <w:t>spreadsheet, providing the information under Parts 1 and 2 in the tab</w:t>
      </w:r>
      <w:r w:rsidR="006C2680">
        <w:rPr>
          <w:rFonts w:ascii="Arial" w:hAnsi="Arial" w:cs="Arial"/>
          <w:bCs/>
          <w:color w:val="333333"/>
          <w:sz w:val="24"/>
          <w:szCs w:val="24"/>
          <w:shd w:val="clear" w:color="auto" w:fill="FFFFFF"/>
        </w:rPr>
        <w:t xml:space="preserve">le above. The following Figure </w:t>
      </w:r>
      <w:r w:rsidRPr="00C460E7">
        <w:rPr>
          <w:rFonts w:ascii="Arial" w:hAnsi="Arial" w:cs="Arial"/>
          <w:bCs/>
          <w:color w:val="333333"/>
          <w:sz w:val="24"/>
          <w:szCs w:val="24"/>
          <w:shd w:val="clear" w:color="auto" w:fill="FFFFFF"/>
        </w:rPr>
        <w:t>shows how this spreadsheet template is structured.</w:t>
      </w:r>
    </w:p>
    <w:p w:rsidR="00745981" w:rsidRDefault="00745981" w:rsidP="00C460E7">
      <w:pPr>
        <w:pStyle w:val="ListParagraph"/>
        <w:ind w:left="90"/>
        <w:jc w:val="both"/>
        <w:rPr>
          <w:rFonts w:ascii="Arial" w:hAnsi="Arial" w:cs="Arial"/>
          <w:bCs/>
          <w:color w:val="333333"/>
          <w:sz w:val="24"/>
          <w:szCs w:val="24"/>
          <w:shd w:val="clear" w:color="auto" w:fill="FFFFFF"/>
        </w:rPr>
      </w:pPr>
    </w:p>
    <w:p w:rsidR="006C2680" w:rsidRPr="006C2680" w:rsidRDefault="006C2680" w:rsidP="006C2680">
      <w:pPr>
        <w:pStyle w:val="ListParagraph"/>
        <w:ind w:left="90"/>
        <w:jc w:val="both"/>
        <w:rPr>
          <w:rFonts w:ascii="Arial" w:hAnsi="Arial" w:cs="Arial"/>
          <w:bCs/>
          <w:color w:val="333333"/>
          <w:sz w:val="24"/>
          <w:szCs w:val="24"/>
          <w:shd w:val="clear" w:color="auto" w:fill="FFFFFF"/>
        </w:rPr>
      </w:pPr>
      <w:r w:rsidRPr="006C2680">
        <w:rPr>
          <w:rFonts w:ascii="Arial" w:hAnsi="Arial" w:cs="Arial"/>
          <w:bCs/>
          <w:color w:val="333333"/>
          <w:sz w:val="24"/>
          <w:szCs w:val="24"/>
          <w:shd w:val="clear" w:color="auto" w:fill="FFFFFF"/>
        </w:rPr>
        <w:t>Figure: Voluntary electronic data communication template – Contents page</w:t>
      </w:r>
    </w:p>
    <w:p w:rsidR="00745981" w:rsidRDefault="00745981" w:rsidP="00C460E7">
      <w:pPr>
        <w:pStyle w:val="ListParagraph"/>
        <w:ind w:left="90"/>
        <w:jc w:val="both"/>
        <w:rPr>
          <w:rFonts w:ascii="Arial" w:hAnsi="Arial" w:cs="Arial"/>
          <w:bCs/>
          <w:color w:val="333333"/>
          <w:sz w:val="24"/>
          <w:szCs w:val="24"/>
          <w:shd w:val="clear" w:color="auto" w:fill="FFFFFF"/>
        </w:rPr>
      </w:pPr>
      <w:r w:rsidRPr="00B845AB">
        <w:rPr>
          <w:rFonts w:ascii="Arial" w:hAnsi="Arial" w:cs="Arial"/>
          <w:noProof/>
          <w:sz w:val="28"/>
          <w:szCs w:val="28"/>
        </w:rPr>
        <w:drawing>
          <wp:inline distT="0" distB="0" distL="0" distR="0" wp14:anchorId="13B4C78D" wp14:editId="1958174F">
            <wp:extent cx="5943600" cy="5267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267960"/>
                    </a:xfrm>
                    <a:prstGeom prst="rect">
                      <a:avLst/>
                    </a:prstGeom>
                    <a:noFill/>
                    <a:ln>
                      <a:noFill/>
                    </a:ln>
                  </pic:spPr>
                </pic:pic>
              </a:graphicData>
            </a:graphic>
          </wp:inline>
        </w:drawing>
      </w:r>
    </w:p>
    <w:p w:rsidR="00745981" w:rsidRDefault="00745981" w:rsidP="00C460E7">
      <w:pPr>
        <w:pStyle w:val="ListParagraph"/>
        <w:ind w:left="90"/>
        <w:jc w:val="both"/>
        <w:rPr>
          <w:rFonts w:ascii="Arial" w:hAnsi="Arial" w:cs="Arial"/>
          <w:bCs/>
          <w:color w:val="333333"/>
          <w:sz w:val="24"/>
          <w:szCs w:val="24"/>
          <w:shd w:val="clear" w:color="auto" w:fill="FFFFFF"/>
        </w:rPr>
      </w:pPr>
    </w:p>
    <w:p w:rsidR="00745981" w:rsidRDefault="00745981" w:rsidP="00745981">
      <w:pPr>
        <w:pStyle w:val="ListParagraph"/>
        <w:ind w:left="90"/>
        <w:jc w:val="both"/>
        <w:rPr>
          <w:rFonts w:ascii="Arial" w:hAnsi="Arial" w:cs="Arial"/>
          <w:bCs/>
          <w:color w:val="333333"/>
          <w:sz w:val="24"/>
          <w:szCs w:val="24"/>
          <w:shd w:val="clear" w:color="auto" w:fill="FFFFFF"/>
        </w:rPr>
      </w:pPr>
      <w:r w:rsidRPr="00745981">
        <w:rPr>
          <w:rFonts w:ascii="Arial" w:hAnsi="Arial" w:cs="Arial"/>
          <w:bCs/>
          <w:color w:val="333333"/>
          <w:sz w:val="24"/>
          <w:szCs w:val="24"/>
          <w:shd w:val="clear" w:color="auto" w:fill="FFFFFF"/>
        </w:rPr>
        <w:t>Key features of the template include:</w:t>
      </w:r>
    </w:p>
    <w:p w:rsidR="00745981" w:rsidRDefault="00745981" w:rsidP="00745981">
      <w:pPr>
        <w:pStyle w:val="ListParagraph"/>
        <w:ind w:left="90"/>
        <w:jc w:val="both"/>
        <w:rPr>
          <w:rFonts w:ascii="Arial" w:hAnsi="Arial" w:cs="Arial"/>
          <w:bCs/>
          <w:color w:val="333333"/>
          <w:sz w:val="24"/>
          <w:szCs w:val="24"/>
          <w:shd w:val="clear" w:color="auto" w:fill="FFFFFF"/>
        </w:rPr>
      </w:pPr>
      <w:r w:rsidRPr="00745981">
        <w:rPr>
          <w:rFonts w:ascii="Arial" w:hAnsi="Arial" w:cs="Arial"/>
          <w:bCs/>
          <w:color w:val="333333"/>
          <w:sz w:val="24"/>
          <w:szCs w:val="24"/>
          <w:shd w:val="clear" w:color="auto" w:fill="FFFFFF"/>
        </w:rPr>
        <w:t xml:space="preserve"> • User-friendly navigation and automatic calculation of CBAM embedded emissions data from data inputs, showing how attributed emissions have been calculated for each production process. </w:t>
      </w:r>
    </w:p>
    <w:p w:rsidR="00745981" w:rsidRDefault="00745981" w:rsidP="00745981">
      <w:pPr>
        <w:pStyle w:val="ListParagraph"/>
        <w:ind w:left="90"/>
        <w:jc w:val="both"/>
        <w:rPr>
          <w:rFonts w:ascii="Arial" w:hAnsi="Arial" w:cs="Arial"/>
          <w:bCs/>
          <w:color w:val="333333"/>
          <w:sz w:val="24"/>
          <w:szCs w:val="24"/>
          <w:shd w:val="clear" w:color="auto" w:fill="FFFFFF"/>
        </w:rPr>
      </w:pPr>
      <w:r w:rsidRPr="00745981">
        <w:rPr>
          <w:rFonts w:ascii="Arial" w:hAnsi="Arial" w:cs="Arial"/>
          <w:bCs/>
          <w:color w:val="333333"/>
          <w:sz w:val="24"/>
          <w:szCs w:val="24"/>
          <w:shd w:val="clear" w:color="auto" w:fill="FFFFFF"/>
        </w:rPr>
        <w:t xml:space="preserve">• Covers information for both Parts 1 and 2 in the operators’ report above, identifies what data is required for the reporting declarants to complete the CBAM report and what data is optional, and provides guidance on how to use the template and on the different calculations performed. </w:t>
      </w:r>
    </w:p>
    <w:p w:rsidR="00745981" w:rsidRDefault="00745981" w:rsidP="00745981">
      <w:pPr>
        <w:pStyle w:val="ListParagraph"/>
        <w:ind w:left="90"/>
        <w:jc w:val="both"/>
        <w:rPr>
          <w:rFonts w:ascii="Arial" w:hAnsi="Arial" w:cs="Arial"/>
          <w:bCs/>
          <w:color w:val="333333"/>
          <w:sz w:val="24"/>
          <w:szCs w:val="24"/>
          <w:shd w:val="clear" w:color="auto" w:fill="FFFFFF"/>
        </w:rPr>
      </w:pPr>
      <w:r w:rsidRPr="00745981">
        <w:rPr>
          <w:rFonts w:ascii="Arial" w:hAnsi="Arial" w:cs="Arial"/>
          <w:bCs/>
          <w:color w:val="333333"/>
          <w:sz w:val="24"/>
          <w:szCs w:val="24"/>
          <w:shd w:val="clear" w:color="auto" w:fill="FFFFFF"/>
        </w:rPr>
        <w:t>• Tools for facilitating reporting, for attributing emissions between heat and electricity for CHP/cogeneration and for calculating the carbon price due.</w:t>
      </w:r>
    </w:p>
    <w:p w:rsidR="00745981" w:rsidRDefault="00745981" w:rsidP="00745981">
      <w:pPr>
        <w:pStyle w:val="ListParagraph"/>
        <w:ind w:left="90"/>
        <w:jc w:val="both"/>
        <w:rPr>
          <w:rFonts w:ascii="Arial" w:hAnsi="Arial" w:cs="Arial"/>
          <w:bCs/>
          <w:color w:val="333333"/>
          <w:sz w:val="24"/>
          <w:szCs w:val="24"/>
          <w:shd w:val="clear" w:color="auto" w:fill="FFFFFF"/>
        </w:rPr>
      </w:pPr>
      <w:r w:rsidRPr="00745981">
        <w:rPr>
          <w:rFonts w:ascii="Arial" w:hAnsi="Arial" w:cs="Arial"/>
          <w:bCs/>
          <w:color w:val="333333"/>
          <w:sz w:val="24"/>
          <w:szCs w:val="24"/>
          <w:shd w:val="clear" w:color="auto" w:fill="FFFFFF"/>
        </w:rPr>
        <w:t xml:space="preserve"> • Summary sheets providing the main information on production processes and products to be communicated to the reporting declarant for their CBAM Reports. The spreadsheet is available from the European Commission’s dedicated website for the CBAM.</w:t>
      </w:r>
    </w:p>
    <w:p w:rsidR="00745981" w:rsidRDefault="00745981" w:rsidP="00745981">
      <w:pPr>
        <w:pStyle w:val="ListParagraph"/>
        <w:ind w:left="90"/>
        <w:jc w:val="both"/>
        <w:rPr>
          <w:rFonts w:ascii="Arial" w:hAnsi="Arial" w:cs="Arial"/>
          <w:bCs/>
          <w:color w:val="333333"/>
          <w:sz w:val="24"/>
          <w:szCs w:val="24"/>
          <w:shd w:val="clear" w:color="auto" w:fill="FFFFFF"/>
        </w:rPr>
      </w:pPr>
    </w:p>
    <w:p w:rsidR="00745981" w:rsidRPr="00745981" w:rsidRDefault="00745981" w:rsidP="00745981">
      <w:pPr>
        <w:pStyle w:val="ListParagraph"/>
        <w:ind w:left="90"/>
        <w:jc w:val="both"/>
        <w:rPr>
          <w:rFonts w:ascii="Arial" w:hAnsi="Arial" w:cs="Arial"/>
          <w:bCs/>
          <w:color w:val="333333"/>
          <w:sz w:val="24"/>
          <w:szCs w:val="24"/>
          <w:shd w:val="clear" w:color="auto" w:fill="FFFFFF"/>
        </w:rPr>
      </w:pPr>
      <w:r w:rsidRPr="00745981">
        <w:rPr>
          <w:rFonts w:ascii="Arial" w:hAnsi="Arial" w:cs="Arial"/>
          <w:bCs/>
          <w:color w:val="333333"/>
          <w:sz w:val="24"/>
          <w:szCs w:val="24"/>
          <w:shd w:val="clear" w:color="auto" w:fill="FFFFFF"/>
        </w:rPr>
        <w:t>The spreadsheet is available from the European Commission’s dedicated website for the CBAM.</w:t>
      </w:r>
    </w:p>
    <w:p w:rsidR="006C2680" w:rsidRPr="00C460E7" w:rsidRDefault="006C2680" w:rsidP="00C460E7">
      <w:pPr>
        <w:pStyle w:val="ListParagraph"/>
        <w:ind w:left="90"/>
        <w:jc w:val="both"/>
        <w:rPr>
          <w:rFonts w:ascii="Arial" w:hAnsi="Arial" w:cs="Arial"/>
          <w:bCs/>
          <w:color w:val="333333"/>
          <w:sz w:val="24"/>
          <w:szCs w:val="24"/>
          <w:shd w:val="clear" w:color="auto" w:fill="FFFFFF"/>
        </w:rPr>
      </w:pPr>
    </w:p>
    <w:p w:rsidR="00C629F0" w:rsidRDefault="00745981" w:rsidP="00CA75B9">
      <w:pPr>
        <w:pStyle w:val="ListParagraph"/>
        <w:ind w:left="90"/>
        <w:jc w:val="both"/>
        <w:rPr>
          <w:rFonts w:ascii="Arial" w:hAnsi="Arial" w:cs="Arial"/>
          <w:bCs/>
          <w:color w:val="333333"/>
          <w:sz w:val="24"/>
          <w:szCs w:val="24"/>
          <w:shd w:val="clear" w:color="auto" w:fill="FFFFFF"/>
        </w:rPr>
      </w:pPr>
      <w:r w:rsidRPr="00745981">
        <w:rPr>
          <w:rFonts w:ascii="Arial" w:hAnsi="Arial" w:cs="Arial"/>
          <w:bCs/>
          <w:color w:val="333333"/>
          <w:sz w:val="24"/>
          <w:szCs w:val="24"/>
          <w:shd w:val="clear" w:color="auto" w:fill="FFFFFF"/>
        </w:rPr>
        <w:t>The spreadsheet and an example of completion are available on the European Commission’s</w:t>
      </w:r>
      <w:r>
        <w:rPr>
          <w:rFonts w:ascii="Arial" w:hAnsi="Arial" w:cs="Arial"/>
          <w:bCs/>
          <w:color w:val="333333"/>
          <w:sz w:val="24"/>
          <w:szCs w:val="24"/>
          <w:shd w:val="clear" w:color="auto" w:fill="FFFFFF"/>
        </w:rPr>
        <w:t xml:space="preserve"> dedicated website for the CBAM</w:t>
      </w:r>
      <w:r w:rsidRPr="00745981">
        <w:rPr>
          <w:rFonts w:ascii="Arial" w:hAnsi="Arial" w:cs="Arial"/>
          <w:bCs/>
          <w:color w:val="333333"/>
          <w:sz w:val="24"/>
          <w:szCs w:val="24"/>
          <w:shd w:val="clear" w:color="auto" w:fill="FFFFFF"/>
        </w:rPr>
        <w:t xml:space="preserve"> and can be accessed at the following link:</w:t>
      </w:r>
    </w:p>
    <w:p w:rsidR="00CA75B9" w:rsidRDefault="001D733A" w:rsidP="00DF5C91">
      <w:pPr>
        <w:jc w:val="both"/>
        <w:rPr>
          <w:rFonts w:ascii="Arial" w:hAnsi="Arial" w:cs="Arial"/>
          <w:bCs/>
          <w:color w:val="333333"/>
          <w:sz w:val="24"/>
          <w:szCs w:val="24"/>
          <w:shd w:val="clear" w:color="auto" w:fill="FFFFFF"/>
        </w:rPr>
      </w:pPr>
      <w:bookmarkStart w:id="0" w:name="_GoBack"/>
      <w:r>
        <w:rPr>
          <w:noProof/>
        </w:rPr>
        <w:drawing>
          <wp:anchor distT="0" distB="0" distL="114300" distR="114300" simplePos="0" relativeHeight="251659264" behindDoc="0" locked="0" layoutInCell="1" allowOverlap="1" wp14:anchorId="27A21E36" wp14:editId="116DC4CD">
            <wp:simplePos x="0" y="0"/>
            <wp:positionH relativeFrom="column">
              <wp:posOffset>-142875</wp:posOffset>
            </wp:positionH>
            <wp:positionV relativeFrom="page">
              <wp:posOffset>2152650</wp:posOffset>
            </wp:positionV>
            <wp:extent cx="6285230" cy="4258945"/>
            <wp:effectExtent l="0" t="0" r="127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2834" r="3718" b="2928"/>
                    <a:stretch/>
                  </pic:blipFill>
                  <pic:spPr bwMode="auto">
                    <a:xfrm>
                      <a:off x="0" y="0"/>
                      <a:ext cx="6285230" cy="4258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6D1F44">
        <w:fldChar w:fldCharType="begin"/>
      </w:r>
      <w:r w:rsidR="006D1F44">
        <w:instrText xml:space="preserve"> HYPERLINK "https://taxation-customs.ec.europa.eu/carbon-border-adjustment-mechanism_en" \l "guidance" </w:instrText>
      </w:r>
      <w:r w:rsidR="006D1F44">
        <w:fldChar w:fldCharType="separate"/>
      </w:r>
      <w:r w:rsidR="00745981" w:rsidRPr="00F46754">
        <w:rPr>
          <w:rStyle w:val="Hyperlink"/>
          <w:rFonts w:ascii="Arial" w:hAnsi="Arial" w:cs="Arial"/>
          <w:sz w:val="28"/>
          <w:szCs w:val="28"/>
          <w:lang w:val="ro-RO"/>
        </w:rPr>
        <w:t>https://taxation-customs.ec.europa.eu/carbon-border-adjustment-mechanism_en#guidance</w:t>
      </w:r>
      <w:r w:rsidR="006D1F44">
        <w:rPr>
          <w:rStyle w:val="Hyperlink"/>
          <w:rFonts w:ascii="Arial" w:hAnsi="Arial" w:cs="Arial"/>
          <w:sz w:val="28"/>
          <w:szCs w:val="28"/>
          <w:lang w:val="ro-RO"/>
        </w:rPr>
        <w:fldChar w:fldCharType="end"/>
      </w:r>
    </w:p>
    <w:sectPr w:rsidR="00CA75B9" w:rsidSect="001C6B60">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7D4D"/>
    <w:multiLevelType w:val="hybridMultilevel"/>
    <w:tmpl w:val="EA2C2354"/>
    <w:lvl w:ilvl="0" w:tplc="BE3230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3AFF"/>
    <w:multiLevelType w:val="hybridMultilevel"/>
    <w:tmpl w:val="397CD9FE"/>
    <w:lvl w:ilvl="0" w:tplc="04090009">
      <w:start w:val="1"/>
      <w:numFmt w:val="bullet"/>
      <w:lvlText w:val=""/>
      <w:lvlJc w:val="left"/>
      <w:pPr>
        <w:ind w:left="720" w:hanging="360"/>
      </w:pPr>
      <w:rPr>
        <w:rFonts w:ascii="Wingdings" w:hAnsi="Wingdings" w:hint="default"/>
      </w:rPr>
    </w:lvl>
    <w:lvl w:ilvl="1" w:tplc="6CB48EF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91E9A"/>
    <w:multiLevelType w:val="hybridMultilevel"/>
    <w:tmpl w:val="C818F25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96D93"/>
    <w:multiLevelType w:val="hybridMultilevel"/>
    <w:tmpl w:val="034CF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D33D6"/>
    <w:multiLevelType w:val="hybridMultilevel"/>
    <w:tmpl w:val="D38E836C"/>
    <w:lvl w:ilvl="0" w:tplc="D9DC78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C3BCC"/>
    <w:multiLevelType w:val="hybridMultilevel"/>
    <w:tmpl w:val="ACA02C2E"/>
    <w:lvl w:ilvl="0" w:tplc="35EAD7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D5BC5"/>
    <w:multiLevelType w:val="hybridMultilevel"/>
    <w:tmpl w:val="C352D2B4"/>
    <w:lvl w:ilvl="0" w:tplc="B23E9F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27ACC"/>
    <w:multiLevelType w:val="hybridMultilevel"/>
    <w:tmpl w:val="5A3C2832"/>
    <w:lvl w:ilvl="0" w:tplc="3536BE4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03828"/>
    <w:multiLevelType w:val="hybridMultilevel"/>
    <w:tmpl w:val="4FC6D2E4"/>
    <w:lvl w:ilvl="0" w:tplc="1FC64BE6">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1A870A0"/>
    <w:multiLevelType w:val="hybridMultilevel"/>
    <w:tmpl w:val="17428A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95709"/>
    <w:multiLevelType w:val="hybridMultilevel"/>
    <w:tmpl w:val="5AA04042"/>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036DB"/>
    <w:multiLevelType w:val="hybridMultilevel"/>
    <w:tmpl w:val="F47E1614"/>
    <w:lvl w:ilvl="0" w:tplc="BAC47C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AA1527"/>
    <w:multiLevelType w:val="hybridMultilevel"/>
    <w:tmpl w:val="7144A3AA"/>
    <w:lvl w:ilvl="0" w:tplc="F4E6A280">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34527B44"/>
    <w:multiLevelType w:val="hybridMultilevel"/>
    <w:tmpl w:val="60AAB2A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B2F3436"/>
    <w:multiLevelType w:val="hybridMultilevel"/>
    <w:tmpl w:val="952C36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C7285"/>
    <w:multiLevelType w:val="hybridMultilevel"/>
    <w:tmpl w:val="74FE94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E50E07"/>
    <w:multiLevelType w:val="hybridMultilevel"/>
    <w:tmpl w:val="AFD619A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2861C34"/>
    <w:multiLevelType w:val="hybridMultilevel"/>
    <w:tmpl w:val="5AB8C57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35DD0"/>
    <w:multiLevelType w:val="hybridMultilevel"/>
    <w:tmpl w:val="80606D82"/>
    <w:lvl w:ilvl="0" w:tplc="B320545E">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83037"/>
    <w:multiLevelType w:val="hybridMultilevel"/>
    <w:tmpl w:val="E44E05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E5949"/>
    <w:multiLevelType w:val="hybridMultilevel"/>
    <w:tmpl w:val="45203B34"/>
    <w:lvl w:ilvl="0" w:tplc="946201E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2195A"/>
    <w:multiLevelType w:val="hybridMultilevel"/>
    <w:tmpl w:val="5606814E"/>
    <w:lvl w:ilvl="0" w:tplc="847630EC">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61B17E20"/>
    <w:multiLevelType w:val="hybridMultilevel"/>
    <w:tmpl w:val="31CA8314"/>
    <w:lvl w:ilvl="0" w:tplc="D062B5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9119A0"/>
    <w:multiLevelType w:val="hybridMultilevel"/>
    <w:tmpl w:val="088083CC"/>
    <w:lvl w:ilvl="0" w:tplc="60AE5714">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15:restartNumberingAfterBreak="0">
    <w:nsid w:val="6AF452DE"/>
    <w:multiLevelType w:val="hybridMultilevel"/>
    <w:tmpl w:val="99C0EF7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6E253E7F"/>
    <w:multiLevelType w:val="hybridMultilevel"/>
    <w:tmpl w:val="C004E482"/>
    <w:lvl w:ilvl="0" w:tplc="04090005">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6" w15:restartNumberingAfterBreak="0">
    <w:nsid w:val="71E82F4F"/>
    <w:multiLevelType w:val="hybridMultilevel"/>
    <w:tmpl w:val="439E62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F62FB"/>
    <w:multiLevelType w:val="hybridMultilevel"/>
    <w:tmpl w:val="1CA0AA4C"/>
    <w:lvl w:ilvl="0" w:tplc="E80A6F9C">
      <w:numFmt w:val="bullet"/>
      <w:lvlText w:val="–"/>
      <w:lvlJc w:val="left"/>
      <w:pPr>
        <w:ind w:left="78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65C680D"/>
    <w:multiLevelType w:val="hybridMultilevel"/>
    <w:tmpl w:val="051C57D0"/>
    <w:lvl w:ilvl="0" w:tplc="04090005">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9" w15:restartNumberingAfterBreak="0">
    <w:nsid w:val="7A9D1DA8"/>
    <w:multiLevelType w:val="hybridMultilevel"/>
    <w:tmpl w:val="42C63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53AD3"/>
    <w:multiLevelType w:val="hybridMultilevel"/>
    <w:tmpl w:val="FA4030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9"/>
  </w:num>
  <w:num w:numId="4">
    <w:abstractNumId w:val="22"/>
  </w:num>
  <w:num w:numId="5">
    <w:abstractNumId w:val="19"/>
  </w:num>
  <w:num w:numId="6">
    <w:abstractNumId w:val="20"/>
  </w:num>
  <w:num w:numId="7">
    <w:abstractNumId w:val="9"/>
  </w:num>
  <w:num w:numId="8">
    <w:abstractNumId w:val="5"/>
  </w:num>
  <w:num w:numId="9">
    <w:abstractNumId w:val="25"/>
  </w:num>
  <w:num w:numId="10">
    <w:abstractNumId w:val="27"/>
  </w:num>
  <w:num w:numId="11">
    <w:abstractNumId w:val="13"/>
  </w:num>
  <w:num w:numId="12">
    <w:abstractNumId w:val="21"/>
  </w:num>
  <w:num w:numId="13">
    <w:abstractNumId w:val="16"/>
  </w:num>
  <w:num w:numId="14">
    <w:abstractNumId w:val="8"/>
  </w:num>
  <w:num w:numId="15">
    <w:abstractNumId w:val="24"/>
  </w:num>
  <w:num w:numId="16">
    <w:abstractNumId w:val="12"/>
  </w:num>
  <w:num w:numId="17">
    <w:abstractNumId w:val="28"/>
  </w:num>
  <w:num w:numId="18">
    <w:abstractNumId w:val="30"/>
  </w:num>
  <w:num w:numId="19">
    <w:abstractNumId w:val="4"/>
  </w:num>
  <w:num w:numId="20">
    <w:abstractNumId w:val="3"/>
  </w:num>
  <w:num w:numId="21">
    <w:abstractNumId w:val="6"/>
  </w:num>
  <w:num w:numId="22">
    <w:abstractNumId w:val="26"/>
  </w:num>
  <w:num w:numId="23">
    <w:abstractNumId w:val="11"/>
  </w:num>
  <w:num w:numId="24">
    <w:abstractNumId w:val="1"/>
  </w:num>
  <w:num w:numId="25">
    <w:abstractNumId w:val="0"/>
  </w:num>
  <w:num w:numId="26">
    <w:abstractNumId w:val="14"/>
  </w:num>
  <w:num w:numId="27">
    <w:abstractNumId w:val="15"/>
  </w:num>
  <w:num w:numId="28">
    <w:abstractNumId w:val="2"/>
  </w:num>
  <w:num w:numId="29">
    <w:abstractNumId w:val="10"/>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AD"/>
    <w:rsid w:val="0014308F"/>
    <w:rsid w:val="001C6B60"/>
    <w:rsid w:val="001D733A"/>
    <w:rsid w:val="001F348A"/>
    <w:rsid w:val="00246A8C"/>
    <w:rsid w:val="004B6099"/>
    <w:rsid w:val="005F721E"/>
    <w:rsid w:val="00613AF7"/>
    <w:rsid w:val="006C2680"/>
    <w:rsid w:val="006D1F44"/>
    <w:rsid w:val="006F3297"/>
    <w:rsid w:val="00745981"/>
    <w:rsid w:val="00914181"/>
    <w:rsid w:val="00996406"/>
    <w:rsid w:val="00B15CEC"/>
    <w:rsid w:val="00B8480C"/>
    <w:rsid w:val="00B97869"/>
    <w:rsid w:val="00BF531E"/>
    <w:rsid w:val="00C460E7"/>
    <w:rsid w:val="00C629F0"/>
    <w:rsid w:val="00CA75B9"/>
    <w:rsid w:val="00CD63AD"/>
    <w:rsid w:val="00DF5C91"/>
    <w:rsid w:val="00E87272"/>
    <w:rsid w:val="00EA1684"/>
    <w:rsid w:val="00EB6EC7"/>
    <w:rsid w:val="00FA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AE2A"/>
  <w15:chartTrackingRefBased/>
  <w15:docId w15:val="{602803EF-12D8-4A1C-92F6-88E2B3B3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3AD"/>
    <w:pPr>
      <w:ind w:left="720"/>
      <w:contextualSpacing/>
    </w:pPr>
  </w:style>
  <w:style w:type="paragraph" w:customStyle="1" w:styleId="oj-ti-grseq-1">
    <w:name w:val="oj-ti-grseq-1"/>
    <w:basedOn w:val="Normal"/>
    <w:rsid w:val="00B15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hdr">
    <w:name w:val="oj-tbl-hdr"/>
    <w:basedOn w:val="Normal"/>
    <w:rsid w:val="00B15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txt">
    <w:name w:val="oj-tbl-txt"/>
    <w:basedOn w:val="Normal"/>
    <w:rsid w:val="00B15C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rmal">
    <w:name w:val="oj-normal"/>
    <w:basedOn w:val="Normal"/>
    <w:rsid w:val="00B15C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sub">
    <w:name w:val="oj-sub"/>
    <w:basedOn w:val="DefaultParagraphFont"/>
    <w:rsid w:val="00B15CEC"/>
  </w:style>
  <w:style w:type="character" w:customStyle="1" w:styleId="oj-super">
    <w:name w:val="oj-super"/>
    <w:basedOn w:val="DefaultParagraphFont"/>
    <w:rsid w:val="00B15CEC"/>
  </w:style>
  <w:style w:type="table" w:styleId="TableGrid">
    <w:name w:val="Table Grid"/>
    <w:basedOn w:val="TableNormal"/>
    <w:uiPriority w:val="39"/>
    <w:rsid w:val="00B15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5B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45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07147">
      <w:bodyDiv w:val="1"/>
      <w:marLeft w:val="0"/>
      <w:marRight w:val="0"/>
      <w:marTop w:val="0"/>
      <w:marBottom w:val="0"/>
      <w:divBdr>
        <w:top w:val="none" w:sz="0" w:space="0" w:color="auto"/>
        <w:left w:val="none" w:sz="0" w:space="0" w:color="auto"/>
        <w:bottom w:val="none" w:sz="0" w:space="0" w:color="auto"/>
        <w:right w:val="none" w:sz="0" w:space="0" w:color="auto"/>
      </w:divBdr>
    </w:div>
    <w:div w:id="989332998">
      <w:bodyDiv w:val="1"/>
      <w:marLeft w:val="0"/>
      <w:marRight w:val="0"/>
      <w:marTop w:val="0"/>
      <w:marBottom w:val="0"/>
      <w:divBdr>
        <w:top w:val="none" w:sz="0" w:space="0" w:color="auto"/>
        <w:left w:val="none" w:sz="0" w:space="0" w:color="auto"/>
        <w:bottom w:val="none" w:sz="0" w:space="0" w:color="auto"/>
        <w:right w:val="none" w:sz="0" w:space="0" w:color="auto"/>
      </w:divBdr>
    </w:div>
    <w:div w:id="17949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RADU</dc:creator>
  <cp:keywords/>
  <dc:description/>
  <cp:lastModifiedBy>SIMONA-NICOLETA GHICA</cp:lastModifiedBy>
  <cp:revision>11</cp:revision>
  <dcterms:created xsi:type="dcterms:W3CDTF">2024-08-12T09:13:00Z</dcterms:created>
  <dcterms:modified xsi:type="dcterms:W3CDTF">2024-10-03T10:55:00Z</dcterms:modified>
</cp:coreProperties>
</file>